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726" w:rsidRDefault="00C23726" w:rsidP="00C23726">
      <w:pPr>
        <w:pStyle w:val="Default"/>
        <w:rPr>
          <w:rFonts w:cstheme="minorBidi"/>
          <w:color w:val="auto"/>
        </w:rPr>
      </w:pPr>
    </w:p>
    <w:p w:rsidR="00C23726" w:rsidRDefault="00C23726" w:rsidP="00C23726">
      <w:pPr>
        <w:pStyle w:val="Default"/>
        <w:rPr>
          <w:color w:val="auto"/>
          <w:sz w:val="22"/>
          <w:szCs w:val="22"/>
        </w:rPr>
      </w:pPr>
      <w:r>
        <w:rPr>
          <w:color w:val="auto"/>
          <w:sz w:val="22"/>
          <w:szCs w:val="22"/>
        </w:rPr>
        <w:t xml:space="preserve">The Club is an amateur club and non-profit making, with all income and gain reinvested into the Club. </w:t>
      </w:r>
    </w:p>
    <w:p w:rsidR="00C23726" w:rsidRDefault="00C23726" w:rsidP="00C23726">
      <w:pPr>
        <w:pStyle w:val="Default"/>
        <w:rPr>
          <w:color w:val="auto"/>
          <w:sz w:val="22"/>
          <w:szCs w:val="22"/>
        </w:rPr>
      </w:pPr>
      <w:r>
        <w:rPr>
          <w:color w:val="auto"/>
          <w:sz w:val="22"/>
          <w:szCs w:val="22"/>
        </w:rPr>
        <w:t xml:space="preserve">All coaches are volunteers. </w:t>
      </w:r>
    </w:p>
    <w:p w:rsidR="00C23726" w:rsidRDefault="00C23726" w:rsidP="00C23726">
      <w:pPr>
        <w:pStyle w:val="Default"/>
        <w:rPr>
          <w:color w:val="auto"/>
          <w:sz w:val="22"/>
          <w:szCs w:val="22"/>
        </w:rPr>
      </w:pPr>
    </w:p>
    <w:p w:rsidR="00C23726" w:rsidRDefault="00C23726" w:rsidP="00C23726">
      <w:pPr>
        <w:pStyle w:val="Default"/>
        <w:rPr>
          <w:color w:val="auto"/>
          <w:sz w:val="22"/>
          <w:szCs w:val="22"/>
        </w:rPr>
      </w:pPr>
      <w:r>
        <w:rPr>
          <w:color w:val="auto"/>
          <w:sz w:val="22"/>
          <w:szCs w:val="22"/>
        </w:rPr>
        <w:t xml:space="preserve">They are not remunerated financially for the time spent planning and running training sessions. The Club is able to reimburse expenses of volunteer coaches. Any expenses claimed must represent actual out-of-pocket expenses incurred by a volunteer in providing training sessions and will not be paid at a flat rate. Any claims made will require receipts to show what monies have been incurred that otherwise would not have been if the coach had not been volunteering. </w:t>
      </w:r>
    </w:p>
    <w:p w:rsidR="00C23726" w:rsidRDefault="00C23726" w:rsidP="00C23726">
      <w:pPr>
        <w:pStyle w:val="Default"/>
        <w:rPr>
          <w:color w:val="auto"/>
          <w:sz w:val="22"/>
          <w:szCs w:val="22"/>
        </w:rPr>
      </w:pPr>
    </w:p>
    <w:p w:rsidR="00C23726" w:rsidRDefault="00C23726" w:rsidP="00C23726">
      <w:pPr>
        <w:pStyle w:val="Default"/>
        <w:rPr>
          <w:color w:val="auto"/>
          <w:sz w:val="22"/>
          <w:szCs w:val="22"/>
        </w:rPr>
      </w:pPr>
      <w:r>
        <w:rPr>
          <w:color w:val="auto"/>
          <w:sz w:val="22"/>
          <w:szCs w:val="22"/>
        </w:rPr>
        <w:t xml:space="preserve">Examples of allowable expenses for a volunteer coach include but are not limited to travel to and from the place of volunteering, and costs of special equipment required for the coached session. </w:t>
      </w:r>
    </w:p>
    <w:p w:rsidR="00C23726" w:rsidRDefault="00C23726" w:rsidP="00C23726">
      <w:pPr>
        <w:pStyle w:val="Default"/>
        <w:rPr>
          <w:color w:val="auto"/>
          <w:sz w:val="22"/>
          <w:szCs w:val="22"/>
        </w:rPr>
      </w:pPr>
    </w:p>
    <w:p w:rsidR="00C23726" w:rsidRDefault="00C23726" w:rsidP="00C23726">
      <w:pPr>
        <w:pStyle w:val="Default"/>
        <w:rPr>
          <w:color w:val="auto"/>
          <w:sz w:val="22"/>
          <w:szCs w:val="22"/>
        </w:rPr>
      </w:pPr>
      <w:r>
        <w:rPr>
          <w:color w:val="auto"/>
          <w:sz w:val="22"/>
          <w:szCs w:val="22"/>
        </w:rPr>
        <w:t xml:space="preserve">Requests for expenses are to be made within 3 months of incurrence to the Treasurer in writing with an explanation of the expense and copies of associated receipts. </w:t>
      </w:r>
    </w:p>
    <w:p w:rsidR="00C23726" w:rsidRDefault="00C23726" w:rsidP="00C23726">
      <w:pPr>
        <w:pStyle w:val="Default"/>
        <w:rPr>
          <w:i/>
          <w:iCs/>
          <w:color w:val="auto"/>
          <w:sz w:val="22"/>
          <w:szCs w:val="22"/>
        </w:rPr>
      </w:pPr>
    </w:p>
    <w:p w:rsidR="00C23726" w:rsidRPr="00C23726" w:rsidRDefault="00C23726" w:rsidP="00C23726">
      <w:pPr>
        <w:pStyle w:val="Default"/>
        <w:rPr>
          <w:color w:val="auto"/>
          <w:sz w:val="22"/>
          <w:szCs w:val="22"/>
          <w:u w:val="single"/>
        </w:rPr>
      </w:pPr>
      <w:r w:rsidRPr="00C23726">
        <w:rPr>
          <w:i/>
          <w:iCs/>
          <w:color w:val="auto"/>
          <w:sz w:val="22"/>
          <w:szCs w:val="22"/>
          <w:u w:val="single"/>
        </w:rPr>
        <w:t xml:space="preserve">Travel expenses </w:t>
      </w:r>
    </w:p>
    <w:p w:rsidR="00C23726" w:rsidRDefault="00C23726" w:rsidP="00C23726">
      <w:pPr>
        <w:pStyle w:val="Default"/>
        <w:rPr>
          <w:color w:val="auto"/>
          <w:sz w:val="22"/>
          <w:szCs w:val="22"/>
        </w:rPr>
      </w:pPr>
    </w:p>
    <w:p w:rsidR="00C23726" w:rsidRDefault="00C23726" w:rsidP="00C23726">
      <w:pPr>
        <w:pStyle w:val="Default"/>
        <w:rPr>
          <w:color w:val="auto"/>
          <w:sz w:val="22"/>
          <w:szCs w:val="22"/>
        </w:rPr>
      </w:pPr>
      <w:r>
        <w:rPr>
          <w:color w:val="auto"/>
          <w:sz w:val="22"/>
          <w:szCs w:val="22"/>
        </w:rPr>
        <w:t xml:space="preserve">Any claims for travel by car, motorbike or bicycle will not require receipts and will be calculated on a mileage basis in accordance with current </w:t>
      </w:r>
      <w:proofErr w:type="spellStart"/>
      <w:r>
        <w:rPr>
          <w:color w:val="auto"/>
          <w:sz w:val="22"/>
          <w:szCs w:val="22"/>
        </w:rPr>
        <w:t>HMRC</w:t>
      </w:r>
      <w:proofErr w:type="spellEnd"/>
      <w:r>
        <w:rPr>
          <w:color w:val="auto"/>
          <w:sz w:val="22"/>
          <w:szCs w:val="22"/>
        </w:rPr>
        <w:t xml:space="preserve"> 'Approved Mileage Allowance' rates (</w:t>
      </w:r>
      <w:hyperlink r:id="rId8" w:history="1">
        <w:r w:rsidRPr="00C23726">
          <w:rPr>
            <w:rStyle w:val="Hyperlink"/>
            <w:sz w:val="22"/>
            <w:szCs w:val="22"/>
          </w:rPr>
          <w:t>2022 rates below</w:t>
        </w:r>
      </w:hyperlink>
      <w:r>
        <w:rPr>
          <w:color w:val="auto"/>
          <w:sz w:val="22"/>
          <w:szCs w:val="22"/>
        </w:rPr>
        <w:t xml:space="preserve">): </w:t>
      </w:r>
    </w:p>
    <w:p w:rsidR="00C23726" w:rsidRDefault="00C23726" w:rsidP="00C23726">
      <w:pPr>
        <w:pStyle w:val="Default"/>
        <w:ind w:left="720"/>
        <w:rPr>
          <w:color w:val="auto"/>
          <w:sz w:val="22"/>
          <w:szCs w:val="22"/>
        </w:rPr>
      </w:pPr>
    </w:p>
    <w:p w:rsidR="00C23726" w:rsidRDefault="00C23726" w:rsidP="00C23726">
      <w:pPr>
        <w:pStyle w:val="Default"/>
        <w:numPr>
          <w:ilvl w:val="0"/>
          <w:numId w:val="1"/>
        </w:numPr>
        <w:rPr>
          <w:color w:val="auto"/>
          <w:sz w:val="22"/>
          <w:szCs w:val="22"/>
        </w:rPr>
      </w:pPr>
      <w:r>
        <w:rPr>
          <w:color w:val="auto"/>
          <w:sz w:val="22"/>
          <w:szCs w:val="22"/>
        </w:rPr>
        <w:t xml:space="preserve">45p per mile for a car </w:t>
      </w:r>
    </w:p>
    <w:p w:rsidR="00C23726" w:rsidRDefault="00C23726" w:rsidP="00C23726">
      <w:pPr>
        <w:pStyle w:val="Default"/>
        <w:numPr>
          <w:ilvl w:val="0"/>
          <w:numId w:val="1"/>
        </w:numPr>
        <w:rPr>
          <w:color w:val="auto"/>
          <w:sz w:val="22"/>
          <w:szCs w:val="22"/>
        </w:rPr>
      </w:pPr>
      <w:r>
        <w:rPr>
          <w:color w:val="auto"/>
          <w:sz w:val="22"/>
          <w:szCs w:val="22"/>
        </w:rPr>
        <w:t xml:space="preserve">24p per mile for motorbike and </w:t>
      </w:r>
    </w:p>
    <w:p w:rsidR="00C23726" w:rsidRDefault="00C23726" w:rsidP="00C23726">
      <w:pPr>
        <w:pStyle w:val="Default"/>
        <w:numPr>
          <w:ilvl w:val="0"/>
          <w:numId w:val="1"/>
        </w:numPr>
        <w:rPr>
          <w:color w:val="auto"/>
          <w:sz w:val="22"/>
          <w:szCs w:val="22"/>
        </w:rPr>
      </w:pPr>
      <w:r>
        <w:rPr>
          <w:color w:val="auto"/>
          <w:sz w:val="22"/>
          <w:szCs w:val="22"/>
        </w:rPr>
        <w:t xml:space="preserve">20p per mile for cycling </w:t>
      </w:r>
    </w:p>
    <w:p w:rsidR="00C23726" w:rsidRDefault="00C23726" w:rsidP="00C23726">
      <w:pPr>
        <w:pStyle w:val="Default"/>
        <w:rPr>
          <w:i/>
          <w:iCs/>
          <w:color w:val="auto"/>
          <w:sz w:val="22"/>
          <w:szCs w:val="22"/>
        </w:rPr>
      </w:pPr>
    </w:p>
    <w:p w:rsidR="00C23726" w:rsidRDefault="00C23726" w:rsidP="00C23726">
      <w:pPr>
        <w:pStyle w:val="Default"/>
        <w:rPr>
          <w:i/>
          <w:iCs/>
          <w:color w:val="auto"/>
          <w:sz w:val="22"/>
          <w:szCs w:val="22"/>
        </w:rPr>
      </w:pPr>
    </w:p>
    <w:p w:rsidR="00C23726" w:rsidRPr="005C31F8" w:rsidRDefault="00C23726" w:rsidP="00C23726">
      <w:pPr>
        <w:pStyle w:val="Default"/>
        <w:rPr>
          <w:i/>
          <w:iCs/>
          <w:color w:val="auto"/>
          <w:sz w:val="22"/>
          <w:szCs w:val="22"/>
          <w:u w:val="single"/>
        </w:rPr>
      </w:pPr>
      <w:r w:rsidRPr="005C31F8">
        <w:rPr>
          <w:i/>
          <w:iCs/>
          <w:color w:val="auto"/>
          <w:sz w:val="22"/>
          <w:szCs w:val="22"/>
          <w:u w:val="single"/>
        </w:rPr>
        <w:t xml:space="preserve">Missed swim sessions </w:t>
      </w:r>
    </w:p>
    <w:p w:rsidR="00C23726" w:rsidRDefault="00C23726" w:rsidP="00C23726">
      <w:pPr>
        <w:pStyle w:val="Default"/>
        <w:rPr>
          <w:color w:val="auto"/>
          <w:sz w:val="22"/>
          <w:szCs w:val="22"/>
        </w:rPr>
      </w:pPr>
    </w:p>
    <w:p w:rsidR="005C31F8" w:rsidRDefault="005C31F8" w:rsidP="005C31F8">
      <w:pPr>
        <w:pStyle w:val="Default"/>
        <w:rPr>
          <w:color w:val="auto"/>
          <w:sz w:val="22"/>
          <w:szCs w:val="22"/>
        </w:rPr>
      </w:pPr>
      <w:r>
        <w:rPr>
          <w:color w:val="auto"/>
          <w:sz w:val="22"/>
          <w:szCs w:val="22"/>
        </w:rPr>
        <w:t xml:space="preserve">Coaches who </w:t>
      </w:r>
      <w:r>
        <w:rPr>
          <w:color w:val="auto"/>
          <w:sz w:val="22"/>
          <w:szCs w:val="22"/>
        </w:rPr>
        <w:t>coach</w:t>
      </w:r>
      <w:r>
        <w:rPr>
          <w:color w:val="auto"/>
          <w:sz w:val="22"/>
          <w:szCs w:val="22"/>
        </w:rPr>
        <w:t xml:space="preserve"> pool swim</w:t>
      </w:r>
      <w:r>
        <w:rPr>
          <w:color w:val="auto"/>
          <w:sz w:val="22"/>
          <w:szCs w:val="22"/>
        </w:rPr>
        <w:t>s</w:t>
      </w:r>
      <w:r>
        <w:rPr>
          <w:color w:val="auto"/>
          <w:sz w:val="22"/>
          <w:szCs w:val="22"/>
        </w:rPr>
        <w:t xml:space="preserve"> will not be able to attend </w:t>
      </w:r>
      <w:r>
        <w:rPr>
          <w:color w:val="auto"/>
          <w:sz w:val="22"/>
          <w:szCs w:val="22"/>
        </w:rPr>
        <w:t xml:space="preserve">a large </w:t>
      </w:r>
      <w:r w:rsidRPr="005C31F8">
        <w:rPr>
          <w:color w:val="auto"/>
          <w:sz w:val="22"/>
          <w:szCs w:val="22"/>
        </w:rPr>
        <w:t xml:space="preserve">proportion </w:t>
      </w:r>
      <w:r>
        <w:rPr>
          <w:color w:val="auto"/>
          <w:sz w:val="22"/>
          <w:szCs w:val="22"/>
        </w:rPr>
        <w:t>of</w:t>
      </w:r>
      <w:r>
        <w:rPr>
          <w:color w:val="auto"/>
          <w:sz w:val="22"/>
          <w:szCs w:val="22"/>
        </w:rPr>
        <w:t xml:space="preserve"> swim sessions </w:t>
      </w:r>
      <w:r>
        <w:rPr>
          <w:color w:val="auto"/>
          <w:sz w:val="22"/>
          <w:szCs w:val="22"/>
        </w:rPr>
        <w:t xml:space="preserve">due to </w:t>
      </w:r>
      <w:r>
        <w:rPr>
          <w:color w:val="auto"/>
          <w:sz w:val="22"/>
          <w:szCs w:val="22"/>
        </w:rPr>
        <w:t xml:space="preserve">coaching </w:t>
      </w:r>
      <w:proofErr w:type="gramStart"/>
      <w:r>
        <w:rPr>
          <w:color w:val="auto"/>
          <w:sz w:val="22"/>
          <w:szCs w:val="22"/>
        </w:rPr>
        <w:t>duties</w:t>
      </w:r>
      <w:r>
        <w:rPr>
          <w:color w:val="auto"/>
          <w:sz w:val="22"/>
          <w:szCs w:val="22"/>
        </w:rPr>
        <w:t>,</w:t>
      </w:r>
      <w:proofErr w:type="gramEnd"/>
      <w:r>
        <w:rPr>
          <w:color w:val="auto"/>
          <w:sz w:val="22"/>
          <w:szCs w:val="22"/>
        </w:rPr>
        <w:t xml:space="preserve"> because of this the club waives the standard pool subs so the swim coach can attend any session when they are not coaching.</w:t>
      </w:r>
    </w:p>
    <w:p w:rsidR="00C23726" w:rsidRDefault="00C23726" w:rsidP="00C23726">
      <w:pPr>
        <w:pStyle w:val="Default"/>
        <w:rPr>
          <w:color w:val="auto"/>
          <w:sz w:val="22"/>
          <w:szCs w:val="22"/>
        </w:rPr>
      </w:pPr>
    </w:p>
    <w:p w:rsidR="005C31F8" w:rsidRDefault="005C31F8" w:rsidP="00C23726">
      <w:pPr>
        <w:pStyle w:val="Default"/>
        <w:rPr>
          <w:i/>
          <w:iCs/>
          <w:color w:val="auto"/>
          <w:sz w:val="22"/>
          <w:szCs w:val="22"/>
        </w:rPr>
      </w:pPr>
    </w:p>
    <w:p w:rsidR="005C31F8" w:rsidRDefault="005C31F8" w:rsidP="00C23726">
      <w:pPr>
        <w:pStyle w:val="Default"/>
        <w:rPr>
          <w:i/>
          <w:iCs/>
          <w:color w:val="auto"/>
          <w:sz w:val="22"/>
          <w:szCs w:val="22"/>
        </w:rPr>
      </w:pPr>
    </w:p>
    <w:p w:rsidR="00C23726" w:rsidRDefault="00C23726" w:rsidP="00C23726">
      <w:pPr>
        <w:pStyle w:val="Default"/>
        <w:rPr>
          <w:i/>
          <w:iCs/>
          <w:color w:val="auto"/>
          <w:sz w:val="22"/>
          <w:szCs w:val="22"/>
        </w:rPr>
      </w:pPr>
      <w:proofErr w:type="spellStart"/>
      <w:r>
        <w:rPr>
          <w:i/>
          <w:iCs/>
          <w:color w:val="auto"/>
          <w:sz w:val="22"/>
          <w:szCs w:val="22"/>
        </w:rPr>
        <w:t>BTF</w:t>
      </w:r>
      <w:proofErr w:type="spellEnd"/>
      <w:r w:rsidR="005C31F8">
        <w:rPr>
          <w:i/>
          <w:iCs/>
          <w:color w:val="auto"/>
          <w:sz w:val="22"/>
          <w:szCs w:val="22"/>
        </w:rPr>
        <w:t>/EA/BC</w:t>
      </w:r>
      <w:r>
        <w:rPr>
          <w:i/>
          <w:iCs/>
          <w:color w:val="auto"/>
          <w:sz w:val="22"/>
          <w:szCs w:val="22"/>
        </w:rPr>
        <w:t xml:space="preserve"> Membership </w:t>
      </w:r>
    </w:p>
    <w:p w:rsidR="005C31F8" w:rsidRDefault="005C31F8" w:rsidP="00C23726">
      <w:pPr>
        <w:pStyle w:val="Default"/>
        <w:rPr>
          <w:color w:val="auto"/>
          <w:sz w:val="22"/>
          <w:szCs w:val="22"/>
        </w:rPr>
      </w:pPr>
    </w:p>
    <w:p w:rsidR="00C23726" w:rsidRDefault="00C23726" w:rsidP="00C23726">
      <w:pPr>
        <w:pStyle w:val="Default"/>
        <w:rPr>
          <w:color w:val="auto"/>
          <w:sz w:val="22"/>
          <w:szCs w:val="22"/>
        </w:rPr>
      </w:pPr>
      <w:r>
        <w:rPr>
          <w:color w:val="auto"/>
          <w:sz w:val="22"/>
          <w:szCs w:val="22"/>
        </w:rPr>
        <w:t>We require club coaches to have individual</w:t>
      </w:r>
      <w:r w:rsidR="005C31F8">
        <w:rPr>
          <w:color w:val="auto"/>
          <w:sz w:val="22"/>
          <w:szCs w:val="22"/>
        </w:rPr>
        <w:t xml:space="preserve"> governing body (</w:t>
      </w:r>
      <w:proofErr w:type="spellStart"/>
      <w:r>
        <w:rPr>
          <w:color w:val="auto"/>
          <w:sz w:val="22"/>
          <w:szCs w:val="22"/>
        </w:rPr>
        <w:t>BTF</w:t>
      </w:r>
      <w:proofErr w:type="spellEnd"/>
      <w:r w:rsidR="005C31F8">
        <w:rPr>
          <w:color w:val="auto"/>
          <w:sz w:val="22"/>
          <w:szCs w:val="22"/>
        </w:rPr>
        <w:t>/EA/BC)</w:t>
      </w:r>
      <w:r>
        <w:rPr>
          <w:color w:val="auto"/>
          <w:sz w:val="22"/>
          <w:szCs w:val="22"/>
        </w:rPr>
        <w:t xml:space="preserve"> membership for insurance purposes (which they would not have to have if they were not coaches of the club). Coaches can claim back the cost of their annual </w:t>
      </w:r>
      <w:r w:rsidR="005C31F8">
        <w:rPr>
          <w:color w:val="auto"/>
          <w:sz w:val="22"/>
          <w:szCs w:val="22"/>
        </w:rPr>
        <w:t xml:space="preserve">governing body </w:t>
      </w:r>
      <w:r>
        <w:rPr>
          <w:color w:val="auto"/>
          <w:sz w:val="22"/>
          <w:szCs w:val="22"/>
        </w:rPr>
        <w:t xml:space="preserve">registration from the club. </w:t>
      </w:r>
    </w:p>
    <w:p w:rsidR="005C31F8" w:rsidRDefault="005C31F8" w:rsidP="00C23726">
      <w:pPr>
        <w:pStyle w:val="Default"/>
        <w:rPr>
          <w:color w:val="auto"/>
          <w:sz w:val="22"/>
          <w:szCs w:val="22"/>
        </w:rPr>
      </w:pPr>
      <w:bookmarkStart w:id="0" w:name="_GoBack"/>
      <w:bookmarkEnd w:id="0"/>
    </w:p>
    <w:p w:rsidR="00525BED" w:rsidRDefault="00C23726" w:rsidP="00C23726">
      <w:r>
        <w:t xml:space="preserve">The Treasurer will have discretion over whether any requested expenses fall within the policy, in accordance with </w:t>
      </w:r>
      <w:proofErr w:type="spellStart"/>
      <w:r>
        <w:t>HMRC</w:t>
      </w:r>
      <w:proofErr w:type="spellEnd"/>
      <w:r>
        <w:t xml:space="preserve"> guidance. Any expenses relating to a single session will be capped at a maximum of £15 per session. Any expenses over this sum not referenced in the policy will require prior authorisation of the Committee.</w:t>
      </w:r>
    </w:p>
    <w:sectPr w:rsidR="00525BED" w:rsidSect="00C23726">
      <w:headerReference w:type="default" r:id="rId9"/>
      <w:footerReference w:type="default" r:id="rId10"/>
      <w:pgSz w:w="11906" w:h="16838"/>
      <w:pgMar w:top="2521" w:right="849" w:bottom="1440" w:left="85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5CA" w:rsidRDefault="002625CA" w:rsidP="00C23726">
      <w:pPr>
        <w:spacing w:after="0" w:line="240" w:lineRule="auto"/>
      </w:pPr>
      <w:r>
        <w:separator/>
      </w:r>
    </w:p>
  </w:endnote>
  <w:endnote w:type="continuationSeparator" w:id="0">
    <w:p w:rsidR="002625CA" w:rsidRDefault="002625CA" w:rsidP="00C23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726" w:rsidRDefault="00C23726" w:rsidP="00C23726">
    <w:pPr>
      <w:pStyle w:val="Footer"/>
      <w:jc w:val="right"/>
    </w:pPr>
    <w:r>
      <w:t>Steve Mac 6</w:t>
    </w:r>
    <w:r w:rsidRPr="00C23726">
      <w:rPr>
        <w:vertAlign w:val="superscript"/>
      </w:rPr>
      <w:t>th</w:t>
    </w:r>
    <w:r>
      <w:t xml:space="preserve"> February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5CA" w:rsidRDefault="002625CA" w:rsidP="00C23726">
      <w:pPr>
        <w:spacing w:after="0" w:line="240" w:lineRule="auto"/>
      </w:pPr>
      <w:r>
        <w:separator/>
      </w:r>
    </w:p>
  </w:footnote>
  <w:footnote w:type="continuationSeparator" w:id="0">
    <w:p w:rsidR="002625CA" w:rsidRDefault="002625CA" w:rsidP="00C23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726" w:rsidRDefault="00C23726" w:rsidP="00C23726">
    <w:pPr>
      <w:pStyle w:val="Header"/>
      <w:tabs>
        <w:tab w:val="clear" w:pos="9026"/>
      </w:tabs>
      <w:ind w:left="2160"/>
      <w:rPr>
        <w:b/>
        <w:bCs/>
      </w:rPr>
    </w:pPr>
    <w:r>
      <w:rPr>
        <w:noProof/>
        <w:lang w:eastAsia="en-GB"/>
      </w:rPr>
      <w:drawing>
        <wp:anchor distT="0" distB="0" distL="114300" distR="114300" simplePos="0" relativeHeight="251658240" behindDoc="0" locked="0" layoutInCell="1" allowOverlap="1" wp14:anchorId="1C8CCE2A" wp14:editId="60CDDA34">
          <wp:simplePos x="0" y="0"/>
          <wp:positionH relativeFrom="column">
            <wp:posOffset>4286250</wp:posOffset>
          </wp:positionH>
          <wp:positionV relativeFrom="paragraph">
            <wp:posOffset>-8890</wp:posOffset>
          </wp:positionV>
          <wp:extent cx="2238375" cy="1104900"/>
          <wp:effectExtent l="0" t="0" r="9525" b="0"/>
          <wp:wrapSquare wrapText="bothSides"/>
          <wp:docPr id="36" name="Picture 36"/>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8375" cy="1104900"/>
                  </a:xfrm>
                  <a:prstGeom prst="rect">
                    <a:avLst/>
                  </a:prstGeom>
                </pic:spPr>
              </pic:pic>
            </a:graphicData>
          </a:graphic>
          <wp14:sizeRelH relativeFrom="page">
            <wp14:pctWidth>0</wp14:pctWidth>
          </wp14:sizeRelH>
          <wp14:sizeRelV relativeFrom="page">
            <wp14:pctHeight>0</wp14:pctHeight>
          </wp14:sizeRelV>
        </wp:anchor>
      </w:drawing>
    </w:r>
  </w:p>
  <w:p w:rsidR="00C23726" w:rsidRDefault="00C23726" w:rsidP="00C23726">
    <w:pPr>
      <w:pStyle w:val="Heading1"/>
      <w:ind w:left="720" w:firstLine="720"/>
    </w:pPr>
    <w:r>
      <w:t>C</w:t>
    </w:r>
    <w:r w:rsidR="005C31F8">
      <w:t>oaches Expenses</w:t>
    </w:r>
    <w:r>
      <w:t xml:space="preserve"> P</w:t>
    </w:r>
    <w:r w:rsidR="005C31F8">
      <w:t>olicy</w:t>
    </w:r>
    <w:r>
      <w:t xml:space="preserve"> </w:t>
    </w:r>
    <w:r>
      <w:t>v1.1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27D04"/>
    <w:multiLevelType w:val="hybridMultilevel"/>
    <w:tmpl w:val="AC304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726"/>
    <w:rsid w:val="002625CA"/>
    <w:rsid w:val="00525BED"/>
    <w:rsid w:val="005C31F8"/>
    <w:rsid w:val="00C237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237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23726"/>
    <w:pPr>
      <w:autoSpaceDE w:val="0"/>
      <w:autoSpaceDN w:val="0"/>
      <w:adjustRightInd w:val="0"/>
      <w:spacing w:after="0" w:line="240" w:lineRule="auto"/>
    </w:pPr>
    <w:rPr>
      <w:rFonts w:ascii="Trebuchet MS" w:hAnsi="Trebuchet MS" w:cs="Trebuchet MS"/>
      <w:color w:val="000000"/>
      <w:sz w:val="24"/>
      <w:szCs w:val="24"/>
    </w:rPr>
  </w:style>
  <w:style w:type="paragraph" w:styleId="BalloonText">
    <w:name w:val="Balloon Text"/>
    <w:basedOn w:val="Normal"/>
    <w:link w:val="BalloonTextChar"/>
    <w:uiPriority w:val="99"/>
    <w:semiHidden/>
    <w:unhideWhenUsed/>
    <w:rsid w:val="00C237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726"/>
    <w:rPr>
      <w:rFonts w:ascii="Tahoma" w:hAnsi="Tahoma" w:cs="Tahoma"/>
      <w:sz w:val="16"/>
      <w:szCs w:val="16"/>
    </w:rPr>
  </w:style>
  <w:style w:type="paragraph" w:styleId="Header">
    <w:name w:val="header"/>
    <w:basedOn w:val="Normal"/>
    <w:link w:val="HeaderChar"/>
    <w:uiPriority w:val="99"/>
    <w:unhideWhenUsed/>
    <w:rsid w:val="00C237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3726"/>
  </w:style>
  <w:style w:type="paragraph" w:styleId="Footer">
    <w:name w:val="footer"/>
    <w:basedOn w:val="Normal"/>
    <w:link w:val="FooterChar"/>
    <w:uiPriority w:val="99"/>
    <w:unhideWhenUsed/>
    <w:rsid w:val="00C237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726"/>
  </w:style>
  <w:style w:type="character" w:customStyle="1" w:styleId="Heading1Char">
    <w:name w:val="Heading 1 Char"/>
    <w:basedOn w:val="DefaultParagraphFont"/>
    <w:link w:val="Heading1"/>
    <w:uiPriority w:val="9"/>
    <w:rsid w:val="00C2372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2372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237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23726"/>
    <w:pPr>
      <w:autoSpaceDE w:val="0"/>
      <w:autoSpaceDN w:val="0"/>
      <w:adjustRightInd w:val="0"/>
      <w:spacing w:after="0" w:line="240" w:lineRule="auto"/>
    </w:pPr>
    <w:rPr>
      <w:rFonts w:ascii="Trebuchet MS" w:hAnsi="Trebuchet MS" w:cs="Trebuchet MS"/>
      <w:color w:val="000000"/>
      <w:sz w:val="24"/>
      <w:szCs w:val="24"/>
    </w:rPr>
  </w:style>
  <w:style w:type="paragraph" w:styleId="BalloonText">
    <w:name w:val="Balloon Text"/>
    <w:basedOn w:val="Normal"/>
    <w:link w:val="BalloonTextChar"/>
    <w:uiPriority w:val="99"/>
    <w:semiHidden/>
    <w:unhideWhenUsed/>
    <w:rsid w:val="00C237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726"/>
    <w:rPr>
      <w:rFonts w:ascii="Tahoma" w:hAnsi="Tahoma" w:cs="Tahoma"/>
      <w:sz w:val="16"/>
      <w:szCs w:val="16"/>
    </w:rPr>
  </w:style>
  <w:style w:type="paragraph" w:styleId="Header">
    <w:name w:val="header"/>
    <w:basedOn w:val="Normal"/>
    <w:link w:val="HeaderChar"/>
    <w:uiPriority w:val="99"/>
    <w:unhideWhenUsed/>
    <w:rsid w:val="00C237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3726"/>
  </w:style>
  <w:style w:type="paragraph" w:styleId="Footer">
    <w:name w:val="footer"/>
    <w:basedOn w:val="Normal"/>
    <w:link w:val="FooterChar"/>
    <w:uiPriority w:val="99"/>
    <w:unhideWhenUsed/>
    <w:rsid w:val="00C237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726"/>
  </w:style>
  <w:style w:type="character" w:customStyle="1" w:styleId="Heading1Char">
    <w:name w:val="Heading 1 Char"/>
    <w:basedOn w:val="DefaultParagraphFont"/>
    <w:link w:val="Heading1"/>
    <w:uiPriority w:val="9"/>
    <w:rsid w:val="00C2372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237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rates-and-allowances-travel-mileage-and-fuel-allowances/travel-mileage-and-fuel-rates-and-allowance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mcmenamin</dc:creator>
  <cp:lastModifiedBy>steve mcmenamin</cp:lastModifiedBy>
  <cp:revision>1</cp:revision>
  <dcterms:created xsi:type="dcterms:W3CDTF">2022-02-06T12:19:00Z</dcterms:created>
  <dcterms:modified xsi:type="dcterms:W3CDTF">2022-02-06T12:39:00Z</dcterms:modified>
</cp:coreProperties>
</file>