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Risk Assessment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form should be completed with a list of hazards that affect the session, and should be written from a coaching perspective, not a venue management perspective.  For each risk assessment there should be associated Emergency Action plan to be used in case a risk occurs.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7"/>
        <w:gridCol w:w="1140"/>
        <w:gridCol w:w="4446"/>
        <w:gridCol w:w="3078"/>
        <w:gridCol w:w="3534"/>
        <w:tblGridChange w:id="0">
          <w:tblGrid>
            <w:gridCol w:w="1647"/>
            <w:gridCol w:w="1140"/>
            <w:gridCol w:w="4446"/>
            <w:gridCol w:w="3078"/>
            <w:gridCol w:w="3534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Venue: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ARDINGLY COLLEGE POOL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 Contact Name &amp; Contact Details: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Clare Kapff</w:t>
            </w:r>
          </w:p>
          <w:p w:rsidR="00000000" w:rsidDel="00000000" w:rsidP="00000000" w:rsidRDefault="00000000" w:rsidRPr="00000000" w14:paraId="0000000B">
            <w:pPr>
              <w:ind w:left="72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Clare.Kapff@ardingly.com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2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venuehire@ardingly.com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2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Direct: 01444 893152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          Office: 0144489303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(Include postcode)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SWIMMING POOL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ARDINGLY COLLEGE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COLLEGE ROAD</w:t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ARDINGLY</w:t>
            </w:r>
          </w:p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RH17 6SQ </w:t>
            </w:r>
          </w:p>
          <w:p w:rsidR="00000000" w:rsidDel="00000000" w:rsidP="00000000" w:rsidRDefault="00000000" w:rsidRPr="00000000" w14:paraId="00000019">
            <w:pPr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MID SUSSEX TRIATHLON CLUB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first-aider: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GUARD ON DUTY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EVERY TUESDAY EVENING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Defibrillator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POOLSIDE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Time: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8.00 – 9.00PM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telephone: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POOLSIDE OFFICE</w:t>
              <w:br w:type="textWrapping"/>
              <w:t xml:space="preserve">(9 FOR OUTSIDE LINE)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B">
            <w:pPr>
              <w:spacing w:before="1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Participants: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8-24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toilets: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CHANGING ROOMS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ADULTS (18-65)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changing rooms: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DOORS TO LEFT OF CORRIDOR FROM MAIN ENTRANCE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Ability: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MIXED. NOVICE TRIATHLETES TO EXPERIENCED AGE-GROUP TRIATHLETES</w:t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PARATRIATHLETE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first-aid kit: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POOLSIDE OFFICE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coach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Steve McMenamin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Stocked and maintained: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☒ Yes                    ☐ No</w:t>
                </w:r>
              </w:sdtContent>
            </w:sdt>
          </w:p>
        </w:tc>
      </w:tr>
      <w:tr>
        <w:trPr>
          <w:cantSplit w:val="1"/>
          <w:trHeight w:val="772" w:hRule="atLeast"/>
          <w:tblHeader w:val="0"/>
        </w:trPr>
        <w:tc>
          <w:tcPr>
            <w:gridSpan w:val="2"/>
            <w:vMerge w:val="restart"/>
            <w:shd w:fill="e6e6e6" w:val="clear"/>
          </w:tcPr>
          <w:p w:rsidR="00000000" w:rsidDel="00000000" w:rsidP="00000000" w:rsidRDefault="00000000" w:rsidRPr="00000000" w14:paraId="0000004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Venue documents read and understood </w:t>
            </w:r>
          </w:p>
          <w:p w:rsidR="00000000" w:rsidDel="00000000" w:rsidP="00000000" w:rsidRDefault="00000000" w:rsidRPr="00000000" w14:paraId="0000004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(please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✔ appropriate box):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Normal operating procedures: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☒ Yes                                ☐ No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notes: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MOBILE PHONE SIGNAL IS VERY POOR ON SITE GENERALLY AND SHOULD THEREFORE NOT BE RELIED UPON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gridSpan w:val="2"/>
            <w:vMerge w:val="continue"/>
            <w:shd w:fill="e6e6e6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Health and safety policy: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☒ Yes                                ☐ No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DIAL 9-999 IN EMERGENCY FROM OFFICE 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gridSpan w:val="2"/>
            <w:vMerge w:val="continue"/>
            <w:shd w:fill="e6e6e6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Emergency action plan (EAP):</w:t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☒ Yes                                ☐ No</w:t>
                </w:r>
              </w:sdtContent>
            </w:sdt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0"/>
        <w:gridCol w:w="4161"/>
        <w:gridCol w:w="3534"/>
        <w:tblGridChange w:id="0">
          <w:tblGrid>
            <w:gridCol w:w="6150"/>
            <w:gridCol w:w="4161"/>
            <w:gridCol w:w="3534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person conducting risk assessment: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Signed: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Date:</w:t>
            </w:r>
          </w:p>
        </w:tc>
      </w:tr>
      <w:tr>
        <w:trPr>
          <w:cantSplit w:val="1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Steve McMenamin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06/01/2022</w:t>
            </w:r>
          </w:p>
        </w:tc>
      </w:tr>
    </w:tbl>
    <w:p w:rsidR="00000000" w:rsidDel="00000000" w:rsidP="00000000" w:rsidRDefault="00000000" w:rsidRPr="00000000" w14:paraId="0000005F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Risk Assessment Form </w:t>
      </w:r>
    </w:p>
    <w:p w:rsidR="00000000" w:rsidDel="00000000" w:rsidP="00000000" w:rsidRDefault="00000000" w:rsidRPr="00000000" w14:paraId="00000062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91.0" w:type="dxa"/>
        <w:jc w:val="left"/>
        <w:tblInd w:w="-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50"/>
        <w:gridCol w:w="1578"/>
        <w:gridCol w:w="1417"/>
        <w:gridCol w:w="1399"/>
        <w:gridCol w:w="3402"/>
        <w:gridCol w:w="1843"/>
        <w:gridCol w:w="1842"/>
        <w:gridCol w:w="1560"/>
        <w:tblGridChange w:id="0">
          <w:tblGrid>
            <w:gridCol w:w="2250"/>
            <w:gridCol w:w="1578"/>
            <w:gridCol w:w="1417"/>
            <w:gridCol w:w="1399"/>
            <w:gridCol w:w="3402"/>
            <w:gridCol w:w="1843"/>
            <w:gridCol w:w="1842"/>
            <w:gridCol w:w="1560"/>
          </w:tblGrid>
        </w:tblGridChange>
      </w:tblGrid>
      <w:tr>
        <w:trPr>
          <w:cantSplit w:val="0"/>
          <w:tblHeader w:val="1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Location &amp; Description of Hazard: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People at Risk: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Risk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(High/Medium/Low):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Advice Required: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(from whom)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Action(s) to Mitigate/ Remove Risk: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Person responsible for resolution: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Residual Risk: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resolution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 Reviewed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POOLSIDE:</w:t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LIGHTING – GOOD LIGHTING LEVELS, NO GLARE</w:t>
            </w:r>
          </w:p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NOISE – ACOUSTICS ARE CHALLENGING</w:t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25M POOL – </w:t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VISIBILITY IS NOT AN ISSUE</w:t>
            </w:r>
          </w:p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SLIPPERY SURFACE WHEN WET</w:t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PLANT ROOM – CHEMICALS, RISK OF CHLORINE GAS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SWIMMERS /  COACHES / SPECTATORS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MEDIUM </w:t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ALL LIGHTS ARE ON FOR SESSION</w:t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SWIMMERS ARE INSTRUCTED NOT TO RUN AROUND POOLSIDE</w:t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ALL POOL STAFF TRAINED IN HANDLING POOL CHEMICALS</w:t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</w:t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POOL STAFF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WATER/POOL:</w:t>
            </w:r>
          </w:p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2M DEEP AT DEEP END SO TOUCHING THE POOL FLOOR AND STAYING ABOVE WATER IS NOT POSSIBLE</w:t>
            </w:r>
          </w:p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WATER TEMPERATURE USUALLY 28º AND CAN FEEL WARM CAUSING OVERHEATING</w:t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AIR TEMPERATURE – VENTILATION IS POOR, SO CAN BECOME VERY WARM CAUSING OVERHEATING OR DISCOMFORT</w:t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LOW WATER QUALITY RISKING SICKNESS</w:t>
            </w:r>
          </w:p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LOW WATER QUALITY AFFECTING BREATHING AND/OR VISIBILITY</w:t>
            </w:r>
          </w:p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POOL TILES ARE IN GOOD CONDITION – CHECK REGULARLY FOR ANY CHANGE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SWIMMERS / COACHES SPECTATORS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HIGH </w:t>
            </w:r>
          </w:p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Yes</w:t>
            </w:r>
          </w:p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 TO CHECK WITH POOL STAFF FOR WATER QUALITY UPDATES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SIGNAGE IS IN PLACE</w:t>
            </w:r>
          </w:p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BRIEF SWIMMERS ON SHALLOW &amp; DEEP END LOCATIONS AND DEPTHS</w:t>
            </w:r>
          </w:p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OPEN DOORS TO INCREASE VENTILATION WHEN REQUIRED</w:t>
            </w:r>
          </w:p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LIAISE WITH POOL STAFF TO GET UPDATES ON WATER QUALITY AND POSSIBLE ISSUES</w:t>
            </w:r>
          </w:p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NO DIVING AT SHALLOW END</w:t>
            </w:r>
          </w:p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DIVE ONLY ON INSTRUCTION OF COACH</w:t>
            </w:r>
          </w:p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ADVISE ALL SWIMMERS TO BRING PLENTY OF FLUIDS DUE TO WARM AIR &amp; WATER TEMPERATURES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 POOL STAFF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ORGANISATION:</w:t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SWIMMERS NOT FOLLOWING POOL / LANE ETIQUETTE</w:t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SWIMMERS HITTING THEIR HEAD DOING BACKSTROKE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MEDIUM </w:t>
            </w:r>
          </w:p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BRIEFING TO INCLUDE POOL RULES &amp; SWIM DIRECTION</w:t>
            </w:r>
          </w:p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PUBLICISE LANE ETIQUETTE TO ALL MEMBERS</w:t>
            </w:r>
          </w:p>
          <w:p w:rsidR="00000000" w:rsidDel="00000000" w:rsidP="00000000" w:rsidRDefault="00000000" w:rsidRPr="00000000" w14:paraId="000000A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COACHES TO OBSERVE ATHLETE/COACH RATIOS AS PER BRITSH TRIATHLON GUIDANCE</w:t>
            </w:r>
          </w:p>
          <w:p w:rsidR="00000000" w:rsidDel="00000000" w:rsidP="00000000" w:rsidRDefault="00000000" w:rsidRPr="00000000" w14:paraId="000000A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5M FLAGS ARE IN PLACE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MEDIUM</w:t>
            </w:r>
          </w:p>
          <w:p w:rsidR="00000000" w:rsidDel="00000000" w:rsidP="00000000" w:rsidRDefault="00000000" w:rsidRPr="00000000" w14:paraId="000000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PARTICIPANTS:</w:t>
            </w:r>
          </w:p>
          <w:p w:rsidR="00000000" w:rsidDel="00000000" w:rsidP="00000000" w:rsidRDefault="00000000" w:rsidRPr="00000000" w14:paraId="000000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UNABLE TO COMPLETE 200M FRONT CRAWL</w:t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WELFARE CONCERNS FOR YOUTH MEMBERS</w:t>
            </w:r>
          </w:p>
          <w:p w:rsidR="00000000" w:rsidDel="00000000" w:rsidP="00000000" w:rsidRDefault="00000000" w:rsidRPr="00000000" w14:paraId="000000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ANY PHYSICAL OR LEARNING DISABILITIES</w:t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UNDERLYING MEDICAL CONDITIONS, ILLNESS OR INJURY</w:t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SWIMMERS UNABLE TO UNDERSTAND OR HEAR INSTRUCTIONS</w:t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NUMBER OF ATHLETES IN EACH LANE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LOW</w:t>
            </w:r>
          </w:p>
          <w:p w:rsidR="00000000" w:rsidDel="00000000" w:rsidP="00000000" w:rsidRDefault="00000000" w:rsidRPr="00000000" w14:paraId="00000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Yes</w:t>
            </w:r>
          </w:p>
          <w:p w:rsidR="00000000" w:rsidDel="00000000" w:rsidP="00000000" w:rsidRDefault="00000000" w:rsidRPr="00000000" w14:paraId="000000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C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CHECK WEEKLY WITH SWIMMERS</w:t>
            </w:r>
          </w:p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FOR ANY UNDERLYING MEDICAL ISSUES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CHECK BASIC SWIM COMPETENCE OF ANY NEW SWIMMER (ENSURE MINIMUM OF 200M UNAIDED SWIMMING)</w:t>
            </w:r>
          </w:p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SUITABLE LANE SUPERVISION WHEN YOUTH MEMBERS ATTEND SESSION</w:t>
            </w:r>
          </w:p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SWIMMER SIZES &amp; ABILITIES ARE ASSESSED AND PARTICIPANTS ARE GROUPED ACCORDINGLY WITHIN SWIM LANES</w:t>
            </w:r>
          </w:p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LANE ETIQUETTE IS OBSERVED BY SWIMMERS AND MANAGED BY COACH</w:t>
            </w:r>
          </w:p>
          <w:p w:rsidR="00000000" w:rsidDel="00000000" w:rsidP="00000000" w:rsidRDefault="00000000" w:rsidRPr="00000000" w14:paraId="000000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ALLOW SWIMMERS TO MOVE TO SIDE / END TO REST IF FEELING FATIGUED OR UNWELL</w:t>
            </w:r>
          </w:p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CHECK AT EVERY SESSION FOR ANY MEDICAL ISSUES OR INJURY – OVERT OR UNDERLYING, AND MODIFY SESSION OR EXCLUDE PARTICIPATION AS REQUIRED</w:t>
            </w:r>
          </w:p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CHECK REGULARLY FOR SWIMMER UNDERSTANDING FOLLOWING INSTRUCTION</w:t>
            </w:r>
          </w:p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OBSERVE LANE CAPACITY IS OBSERVED (MAX 7 SWIMMERS PER LANE) – SWIMMERS TO BE TURNED AWAY AT THE COACHES DISCRETION IF NUMBERS ARE EXCEEDED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POOLSIDE EQUIPMENT:</w:t>
            </w:r>
          </w:p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REMOVABLE ITEMS STORED AROUND POOLSIDE INCLUDE:</w:t>
            </w:r>
            <w:r w:rsidDel="00000000" w:rsidR="00000000" w:rsidRPr="00000000">
              <w:rPr>
                <w:rFonts w:ascii="MingLiU" w:cs="MingLiU" w:eastAsia="MingLiU" w:hAnsi="MingLiU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 STARTING BLOCKS, POOL COVER, WATER POLO GOALS, PLASTIC CHAIRS, EQUIPMENT STORAGE CRATES, SWIMMERS EQUIPMENT &amp; DRINKS, WATER DISPENSER, OFFICE TABLE</w:t>
            </w:r>
          </w:p>
          <w:p w:rsidR="00000000" w:rsidDel="00000000" w:rsidP="00000000" w:rsidRDefault="00000000" w:rsidRPr="00000000" w14:paraId="000000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IMMOVABLE ITEMS AROUND POOLSIDE INCLUDE SPECTATOR BENCHES, WIPE BOARD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 / SPECTATORS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HIGH </w:t>
            </w:r>
          </w:p>
          <w:p w:rsidR="00000000" w:rsidDel="00000000" w:rsidP="00000000" w:rsidRDefault="00000000" w:rsidRPr="00000000" w14:paraId="000000D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ALL MOVEABLE ITEMS NOT REQUIRED FOR THE SESSION ARE MOVED AWAY FROM POOLSIDE</w:t>
            </w:r>
          </w:p>
          <w:p w:rsidR="00000000" w:rsidDel="00000000" w:rsidP="00000000" w:rsidRDefault="00000000" w:rsidRPr="00000000" w14:paraId="000000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POINT OUT ITEMS TO SWIMMERS AS POTENTIAL TRIP HAZARDS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 POOL STAFF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VENUE ACCESS: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STEEP STEPS &amp; INCLINED SLOPE DOWN TO POOL ENTRANCE IS POORLY LIT WHEN DARK AND CAN BE SLIPPERY IN WET/COLD WEATHER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 / SPECTATORS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LOW </w:t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MAKE ALL ATTENDEES AWARE AS APPROPRIATE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 COLLEGE CONTACT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HUMAN RESOURCES: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• LIFE GUARD NOT IN PLACE</w:t>
            </w:r>
          </w:p>
          <w:p w:rsidR="00000000" w:rsidDel="00000000" w:rsidP="00000000" w:rsidRDefault="00000000" w:rsidRPr="00000000" w14:paraId="000000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 / LIFEGUARD RATIO OF 1:40 EXCEEDED</w:t>
              <w:br w:type="textWrapping"/>
              <w:t xml:space="preserve">(LANE SWIMMING)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COACH / ATHLETE RATIO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MEDIUM </w:t>
            </w:r>
          </w:p>
          <w:p w:rsidR="00000000" w:rsidDel="00000000" w:rsidP="00000000" w:rsidRDefault="00000000" w:rsidRPr="00000000" w14:paraId="000000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LIFEGUARD IS IN PLACE PRIOR TO SESSION START</w:t>
            </w:r>
          </w:p>
          <w:p w:rsidR="00000000" w:rsidDel="00000000" w:rsidP="00000000" w:rsidRDefault="00000000" w:rsidRPr="00000000" w14:paraId="000000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NO LIFEGAURD – NO SESSION</w:t>
            </w:r>
          </w:p>
          <w:p w:rsidR="00000000" w:rsidDel="00000000" w:rsidP="00000000" w:rsidRDefault="00000000" w:rsidRPr="00000000" w14:paraId="000000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ASSESS PARTICIPANT NUMBERS AND ENSURE THEY MEET RATIOS FOR LIFEGUARD &amp; COACHING</w:t>
            </w:r>
          </w:p>
          <w:p w:rsidR="00000000" w:rsidDel="00000000" w:rsidP="00000000" w:rsidRDefault="00000000" w:rsidRPr="00000000" w14:paraId="000000F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ESTABLISH COACHED AND UNCOACHED LANES IF REQUIRED DUE TO RATIOS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 more pages as required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rHeight w:val="9481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Insert Diagram(s) of layout of venue with key safety elements marked (this page is intended to be shared between Risk Assessment and EAP):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5377180</wp:posOffset>
                  </wp:positionH>
                  <wp:positionV relativeFrom="paragraph">
                    <wp:posOffset>-118109</wp:posOffset>
                  </wp:positionV>
                  <wp:extent cx="4919930" cy="6962140"/>
                  <wp:effectExtent b="0" l="0" r="0" t="0"/>
                  <wp:wrapNone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930" cy="6962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254095" cy="5723472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095" cy="5723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OVERALL SITE PLAN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Arial Unicode MS"/>
  <w:font w:name="MingLiU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0080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6BC4"/>
    <w:rPr>
      <w:rFonts w:ascii="Verdana" w:eastAsia="Times New Roman" w:hAnsi="Verdana"/>
      <w:color w:val="000080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 w:val="1"/>
    <w:rsid w:val="00816BC4"/>
    <w:pPr>
      <w:keepNext w:val="1"/>
      <w:outlineLvl w:val="5"/>
    </w:pPr>
    <w:rPr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6Char" w:customStyle="1">
    <w:name w:val="Heading 6 Char"/>
    <w:basedOn w:val="DefaultParagraphFont"/>
    <w:link w:val="Heading6"/>
    <w:rsid w:val="00816BC4"/>
    <w:rPr>
      <w:rFonts w:ascii="Verdana" w:cs="Times New Roman" w:eastAsia="Times New Roman" w:hAnsi="Verdana"/>
      <w:color w:val="000080"/>
      <w:sz w:val="28"/>
      <w:szCs w:val="24"/>
    </w:rPr>
  </w:style>
  <w:style w:type="paragraph" w:styleId="Header">
    <w:name w:val="header"/>
    <w:basedOn w:val="Normal"/>
    <w:link w:val="HeaderChar"/>
    <w:rsid w:val="00816BC4"/>
    <w:pPr>
      <w:tabs>
        <w:tab w:val="center" w:pos="4153"/>
        <w:tab w:val="right" w:pos="8306"/>
      </w:tabs>
    </w:pPr>
    <w:rPr>
      <w:sz w:val="18"/>
    </w:rPr>
  </w:style>
  <w:style w:type="character" w:styleId="HeaderChar" w:customStyle="1">
    <w:name w:val="Header Char"/>
    <w:basedOn w:val="DefaultParagraphFont"/>
    <w:link w:val="Header"/>
    <w:rsid w:val="00816BC4"/>
    <w:rPr>
      <w:rFonts w:ascii="Verdana" w:cs="Times New Roman" w:eastAsia="Times New Roman" w:hAnsi="Verdana"/>
      <w:color w:val="000080"/>
      <w:sz w:val="18"/>
      <w:szCs w:val="24"/>
    </w:rPr>
  </w:style>
  <w:style w:type="paragraph" w:styleId="NormalWeb">
    <w:name w:val="Normal (Web)"/>
    <w:basedOn w:val="Normal"/>
    <w:rsid w:val="00816BC4"/>
    <w:pPr>
      <w:spacing w:after="100" w:afterAutospacing="1" w:before="100" w:beforeAutospacing="1"/>
    </w:pPr>
    <w:rPr>
      <w:rFonts w:ascii="Arial Unicode MS" w:cs="Arial Unicode MS" w:eastAsia="Arial Unicode MS" w:hAnsi="Arial Unicode MS"/>
      <w:color w:val="333399"/>
    </w:rPr>
  </w:style>
  <w:style w:type="paragraph" w:styleId="CommentText">
    <w:name w:val="annotation text"/>
    <w:basedOn w:val="Normal"/>
    <w:link w:val="CommentTextChar"/>
    <w:semiHidden w:val="1"/>
    <w:rsid w:val="00816BC4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816BC4"/>
    <w:rPr>
      <w:rFonts w:ascii="Verdana" w:cs="Times New Roman" w:eastAsia="Times New Roman" w:hAnsi="Verdana"/>
      <w:color w:val="000080"/>
      <w:sz w:val="20"/>
      <w:szCs w:val="20"/>
    </w:rPr>
  </w:style>
  <w:style w:type="paragraph" w:styleId="FootnoteText">
    <w:name w:val="footnote text"/>
    <w:basedOn w:val="Normal"/>
    <w:link w:val="FootnoteTextChar"/>
    <w:semiHidden w:val="1"/>
    <w:rsid w:val="00816BC4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816BC4"/>
    <w:rPr>
      <w:rFonts w:ascii="Verdana" w:cs="Times New Roman" w:eastAsia="Times New Roman" w:hAnsi="Verdana"/>
      <w:color w:val="000080"/>
      <w:sz w:val="20"/>
      <w:szCs w:val="20"/>
    </w:rPr>
  </w:style>
  <w:style w:type="paragraph" w:styleId="SessionPlanNormal" w:customStyle="1">
    <w:name w:val="Session Plan Normal"/>
    <w:basedOn w:val="Normal"/>
    <w:rsid w:val="00913EB5"/>
    <w:rPr>
      <w:rFonts w:ascii="Arial" w:hAnsi="Arial"/>
      <w:color w:val="auto"/>
      <w:sz w:val="18"/>
      <w:szCs w:val="20"/>
    </w:rPr>
  </w:style>
  <w:style w:type="table" w:styleId="TableGrid">
    <w:name w:val="Table Grid"/>
    <w:basedOn w:val="TableNormal"/>
    <w:uiPriority w:val="59"/>
    <w:rsid w:val="005137C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025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0250"/>
    <w:rPr>
      <w:rFonts w:ascii="Segoe UI" w:cs="Segoe UI" w:eastAsia="Times New Roman" w:hAnsi="Segoe UI"/>
      <w:color w:val="00008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8555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55A7"/>
    <w:rPr>
      <w:rFonts w:ascii="Verdana" w:eastAsia="Times New Roman" w:hAnsi="Verdana"/>
      <w:color w:val="000080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lare.Kapff@ardingly.com" TargetMode="External"/><Relationship Id="rId8" Type="http://schemas.openxmlformats.org/officeDocument/2006/relationships/hyperlink" Target="mailto:venuehire@arding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KzixlINIhwRfmP0/zRy56zVrg==">AMUW2mWcI1AEkKWbdWwzFmKfZjDx/J52RfJBBlsKThhzlpoN+gQTRHDRWt5JkHuSl++Hve9d3s1EqbgTG3zl6brFYP182eV3PCMxHnWox9zWgDWyi1KPGTlJ5tuxButRZNvqC2rxvGPxWSH8e87uSC1yVksgg0a3FvOLcEbzvsr/YZCYXpcftE+nELlnmVeuRWrSwR9Lk/cM5AtYfDRwrxjGfi6BdZHUnYVStKPZqRjWiVUE2O/Ep1iOkMA+8ApRc2YGhBm7sV/aasjnKuOmROPZe4fT2xMLIaeMjweUnmQrV0tTAmjf4U1oYzLfEXWSlobtzt66BlPctBIqB6u2QsCPL5fjclfS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2016-10-24T17:15:00Z</dcterms:created>
  <dc:creator>BTF</dc:creator>
</cp:coreProperties>
</file>